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2402" w14:textId="2488E67D" w:rsidR="00307DEE" w:rsidRPr="00307DEE" w:rsidRDefault="00FB201C" w:rsidP="00307DEE">
      <w:pPr>
        <w:tabs>
          <w:tab w:val="center" w:pos="4677"/>
          <w:tab w:val="right" w:pos="9355"/>
        </w:tabs>
        <w:spacing w:line="260" w:lineRule="exact"/>
        <w:jc w:val="right"/>
        <w:rPr>
          <w:rFonts w:ascii="Montserrat" w:eastAsia="Calibri" w:hAnsi="Montserrat" w:cs="Arial"/>
          <w:b/>
          <w:bCs/>
          <w:color w:val="4664BE"/>
          <w:lang w:eastAsia="en-US"/>
        </w:rPr>
      </w:pPr>
      <w:r>
        <w:rPr>
          <w:noProof/>
          <w:lang w:val="en-US" w:eastAsia="en-US"/>
        </w:rPr>
        <w:drawing>
          <wp:anchor distT="0" distB="0" distL="114300" distR="114300" simplePos="0" relativeHeight="251658240" behindDoc="0" locked="0" layoutInCell="1" allowOverlap="1" wp14:anchorId="211816A1" wp14:editId="1C9BECD5">
            <wp:simplePos x="0" y="0"/>
            <wp:positionH relativeFrom="margin">
              <wp:posOffset>27305</wp:posOffset>
            </wp:positionH>
            <wp:positionV relativeFrom="paragraph">
              <wp:posOffset>-1270</wp:posOffset>
            </wp:positionV>
            <wp:extent cx="1955165" cy="438785"/>
            <wp:effectExtent l="0" t="0" r="0" b="0"/>
            <wp:wrapThrough wrapText="bothSides">
              <wp:wrapPolygon edited="0">
                <wp:start x="0" y="0"/>
                <wp:lineTo x="0" y="20631"/>
                <wp:lineTo x="21467" y="20631"/>
                <wp:lineTo x="21467" y="0"/>
                <wp:lineTo x="0" y="0"/>
              </wp:wrapPolygon>
            </wp:wrapThrough>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51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DEE" w:rsidRPr="00307DEE">
        <w:rPr>
          <w:rFonts w:ascii="Montserrat" w:eastAsia="Calibri" w:hAnsi="Montserrat" w:cs="Arial"/>
          <w:b/>
          <w:bCs/>
          <w:color w:val="4664BE"/>
          <w:lang w:eastAsia="en-US"/>
        </w:rPr>
        <w:t>ТОВ</w:t>
      </w:r>
      <w:r w:rsidR="00307DEE" w:rsidRPr="00307DEE">
        <w:rPr>
          <w:rFonts w:ascii="Montserrat" w:eastAsia="Calibri" w:hAnsi="Montserrat" w:cs="Arial"/>
          <w:b/>
          <w:bCs/>
          <w:noProof/>
          <w:lang w:eastAsia="en-US"/>
        </w:rPr>
        <w:t xml:space="preserve"> </w:t>
      </w:r>
      <w:r w:rsidR="00307DEE" w:rsidRPr="00307DEE">
        <w:rPr>
          <w:rFonts w:ascii="Montserrat" w:eastAsia="Calibri" w:hAnsi="Montserrat" w:cs="Arial"/>
          <w:b/>
          <w:bCs/>
          <w:color w:val="4664BE"/>
          <w:lang w:eastAsia="en-US"/>
        </w:rPr>
        <w:t>«ГАЗОРОЗПОДІЛЬНІ МЕРЕЖІ УКРАЇНИ»</w:t>
      </w:r>
    </w:p>
    <w:p w14:paraId="6E9C1E04" w14:textId="77777777" w:rsidR="00307DEE" w:rsidRPr="00307DEE" w:rsidRDefault="00307DEE" w:rsidP="00307DEE">
      <w:pPr>
        <w:tabs>
          <w:tab w:val="center" w:pos="4677"/>
          <w:tab w:val="right" w:pos="9355"/>
        </w:tabs>
        <w:spacing w:line="260" w:lineRule="exact"/>
        <w:jc w:val="right"/>
        <w:rPr>
          <w:rFonts w:ascii="Montserrat" w:eastAsia="Calibri" w:hAnsi="Montserrat" w:cs="Arial"/>
          <w:b/>
          <w:bCs/>
          <w:color w:val="4664BE"/>
          <w:lang w:eastAsia="en-US"/>
        </w:rPr>
      </w:pPr>
    </w:p>
    <w:p w14:paraId="76386F9E" w14:textId="77777777" w:rsidR="00307DEE" w:rsidRPr="00307DEE" w:rsidRDefault="00307DEE" w:rsidP="00307DEE">
      <w:pPr>
        <w:tabs>
          <w:tab w:val="center" w:pos="4677"/>
          <w:tab w:val="right" w:pos="9355"/>
        </w:tabs>
        <w:spacing w:line="260" w:lineRule="exact"/>
        <w:jc w:val="right"/>
        <w:rPr>
          <w:rFonts w:ascii="Calibri" w:eastAsia="Calibri" w:hAnsi="Calibri" w:cs="Arial"/>
          <w:b/>
          <w:bCs/>
          <w:sz w:val="18"/>
          <w:szCs w:val="18"/>
          <w:lang w:eastAsia="en-US"/>
        </w:rPr>
      </w:pPr>
      <w:r w:rsidRPr="00307DEE">
        <w:rPr>
          <w:rFonts w:ascii="Calibri" w:eastAsia="Calibri" w:hAnsi="Calibri" w:cs="Arial"/>
          <w:b/>
          <w:bCs/>
          <w:sz w:val="18"/>
          <w:szCs w:val="18"/>
          <w:lang w:eastAsia="en-US"/>
        </w:rPr>
        <w:t xml:space="preserve">КИЇВСЬКА ФІЛІЯ </w:t>
      </w:r>
    </w:p>
    <w:p w14:paraId="6E1EFD74" w14:textId="77777777" w:rsidR="00307DEE" w:rsidRPr="00307DEE" w:rsidRDefault="00307DEE" w:rsidP="00307DEE">
      <w:pPr>
        <w:tabs>
          <w:tab w:val="center" w:pos="4677"/>
          <w:tab w:val="right" w:pos="9355"/>
        </w:tabs>
        <w:spacing w:line="260" w:lineRule="exact"/>
        <w:jc w:val="right"/>
        <w:rPr>
          <w:rFonts w:ascii="Calibri" w:eastAsia="Calibri" w:hAnsi="Calibri" w:cs="Arial"/>
          <w:b/>
          <w:bCs/>
          <w:sz w:val="18"/>
          <w:szCs w:val="18"/>
          <w:lang w:eastAsia="en-US"/>
        </w:rPr>
      </w:pPr>
      <w:r w:rsidRPr="00307DEE">
        <w:rPr>
          <w:rFonts w:ascii="Calibri" w:eastAsia="Calibri" w:hAnsi="Calibri" w:cs="Arial"/>
          <w:b/>
          <w:bCs/>
          <w:sz w:val="18"/>
          <w:szCs w:val="18"/>
          <w:lang w:eastAsia="en-US"/>
        </w:rPr>
        <w:t xml:space="preserve">ТОВАРИСТВА З ОБМЕЖЕНОЮ </w:t>
      </w:r>
    </w:p>
    <w:p w14:paraId="35EE2B20" w14:textId="77777777" w:rsidR="00307DEE" w:rsidRPr="00307DEE" w:rsidRDefault="00307DEE" w:rsidP="00307DEE">
      <w:pPr>
        <w:tabs>
          <w:tab w:val="center" w:pos="4677"/>
          <w:tab w:val="right" w:pos="9355"/>
        </w:tabs>
        <w:spacing w:line="260" w:lineRule="exact"/>
        <w:jc w:val="right"/>
        <w:rPr>
          <w:rFonts w:ascii="Calibri" w:eastAsia="Calibri" w:hAnsi="Calibri" w:cs="Arial"/>
          <w:b/>
          <w:bCs/>
          <w:sz w:val="18"/>
          <w:szCs w:val="18"/>
          <w:lang w:eastAsia="en-US"/>
        </w:rPr>
      </w:pPr>
      <w:r w:rsidRPr="00307DEE">
        <w:rPr>
          <w:rFonts w:ascii="Calibri" w:eastAsia="Calibri" w:hAnsi="Calibri" w:cs="Arial"/>
          <w:b/>
          <w:bCs/>
          <w:sz w:val="18"/>
          <w:szCs w:val="18"/>
          <w:lang w:eastAsia="en-US"/>
        </w:rPr>
        <w:t>ВІДПОВІДАЛЬНІСТЮ</w:t>
      </w:r>
    </w:p>
    <w:p w14:paraId="0CF93854" w14:textId="77777777" w:rsidR="00307DEE" w:rsidRPr="00307DEE" w:rsidRDefault="00307DEE" w:rsidP="00307DEE">
      <w:pPr>
        <w:tabs>
          <w:tab w:val="center" w:pos="4677"/>
          <w:tab w:val="right" w:pos="9355"/>
        </w:tabs>
        <w:spacing w:line="260" w:lineRule="exact"/>
        <w:jc w:val="right"/>
        <w:rPr>
          <w:rFonts w:ascii="Calibri" w:eastAsia="Calibri" w:hAnsi="Calibri" w:cs="Arial"/>
          <w:b/>
          <w:bCs/>
          <w:sz w:val="18"/>
          <w:szCs w:val="18"/>
          <w:lang w:eastAsia="en-US"/>
        </w:rPr>
      </w:pPr>
      <w:r w:rsidRPr="00307DEE">
        <w:rPr>
          <w:rFonts w:ascii="Calibri" w:eastAsia="Calibri" w:hAnsi="Calibri" w:cs="Arial"/>
          <w:b/>
          <w:bCs/>
          <w:sz w:val="18"/>
          <w:szCs w:val="18"/>
          <w:lang w:eastAsia="en-US"/>
        </w:rPr>
        <w:t xml:space="preserve">«ГАЗОРОЗПОДІЛЬНІ МЕРЕЖІ УКРАЇНИ» </w:t>
      </w:r>
    </w:p>
    <w:p w14:paraId="4052C914" w14:textId="70A6E3F9" w:rsidR="00307DEE" w:rsidRPr="00307DEE" w:rsidRDefault="00FB201C" w:rsidP="00307DEE">
      <w:pPr>
        <w:widowControl w:val="0"/>
        <w:spacing w:line="170" w:lineRule="exact"/>
        <w:jc w:val="right"/>
        <w:rPr>
          <w:rFonts w:ascii="Montserrat" w:eastAsia="Arial" w:hAnsi="Montserrat" w:cs="Arial"/>
          <w:b/>
          <w:bCs/>
          <w:sz w:val="28"/>
          <w:szCs w:val="28"/>
          <w:lang w:eastAsia="en-US"/>
        </w:rPr>
      </w:pPr>
      <w:r>
        <w:rPr>
          <w:noProof/>
          <w:lang w:val="en-US" w:eastAsia="en-US"/>
        </w:rPr>
        <mc:AlternateContent>
          <mc:Choice Requires="wps">
            <w:drawing>
              <wp:anchor distT="4294967295" distB="4294967295" distL="114300" distR="114300" simplePos="0" relativeHeight="251657216" behindDoc="0" locked="0" layoutInCell="1" allowOverlap="1" wp14:anchorId="3428D02B" wp14:editId="424181D4">
                <wp:simplePos x="0" y="0"/>
                <wp:positionH relativeFrom="column">
                  <wp:posOffset>-11430</wp:posOffset>
                </wp:positionH>
                <wp:positionV relativeFrom="paragraph">
                  <wp:posOffset>423544</wp:posOffset>
                </wp:positionV>
                <wp:extent cx="5954395" cy="0"/>
                <wp:effectExtent l="0" t="0" r="0" b="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439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3D8DA85"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33.35pt" to="467.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" strokeweight="1.5pt">
                <v:stroke joinstyle="miter"/>
                <o:lock v:ext="edit" shapetype="f"/>
              </v:line>
            </w:pict>
          </mc:Fallback>
        </mc:AlternateContent>
      </w:r>
    </w:p>
    <w:p w14:paraId="42F8CB13" w14:textId="77777777" w:rsidR="00307DEE" w:rsidRPr="00307DEE" w:rsidRDefault="00307DEE" w:rsidP="00307DEE">
      <w:pPr>
        <w:tabs>
          <w:tab w:val="left" w:pos="3578"/>
          <w:tab w:val="left" w:pos="9505"/>
        </w:tabs>
        <w:spacing w:before="261" w:after="200" w:line="276" w:lineRule="auto"/>
        <w:jc w:val="center"/>
        <w:rPr>
          <w:b/>
          <w:bCs/>
          <w:sz w:val="24"/>
          <w:szCs w:val="24"/>
        </w:rPr>
      </w:pPr>
    </w:p>
    <w:p w14:paraId="733E9925" w14:textId="77777777" w:rsidR="00AE3912" w:rsidRPr="00AE3912" w:rsidRDefault="00AE3912" w:rsidP="00AE3912">
      <w:pPr>
        <w:ind w:firstLine="6804"/>
        <w:jc w:val="both"/>
        <w:rPr>
          <w:sz w:val="24"/>
          <w:szCs w:val="24"/>
          <w:lang w:eastAsia="en-US"/>
        </w:rPr>
      </w:pPr>
      <w:r w:rsidRPr="00AE3912">
        <w:rPr>
          <w:sz w:val="24"/>
          <w:szCs w:val="24"/>
          <w:lang w:eastAsia="en-US"/>
        </w:rPr>
        <w:t>Додаток 3</w:t>
      </w:r>
    </w:p>
    <w:p w14:paraId="43862597" w14:textId="77777777" w:rsidR="00AE3912" w:rsidRPr="00AE3912" w:rsidRDefault="00AE3912" w:rsidP="00AE3912">
      <w:pPr>
        <w:ind w:firstLine="6804"/>
        <w:jc w:val="both"/>
        <w:rPr>
          <w:sz w:val="24"/>
          <w:szCs w:val="24"/>
          <w:lang w:eastAsia="en-US"/>
        </w:rPr>
      </w:pPr>
      <w:r w:rsidRPr="00AE3912">
        <w:rPr>
          <w:sz w:val="24"/>
          <w:szCs w:val="24"/>
          <w:lang w:eastAsia="en-US"/>
        </w:rPr>
        <w:t>до Типового договору</w:t>
      </w:r>
    </w:p>
    <w:p w14:paraId="0C5CE328" w14:textId="77777777" w:rsidR="00AE3912" w:rsidRPr="00AE3912" w:rsidRDefault="00AE3912" w:rsidP="00AE3912">
      <w:pPr>
        <w:ind w:firstLine="6804"/>
        <w:jc w:val="both"/>
        <w:rPr>
          <w:sz w:val="24"/>
          <w:szCs w:val="24"/>
          <w:lang w:eastAsia="en-US"/>
        </w:rPr>
      </w:pPr>
      <w:r w:rsidRPr="00AE3912">
        <w:rPr>
          <w:sz w:val="24"/>
          <w:szCs w:val="24"/>
          <w:lang w:eastAsia="en-US"/>
        </w:rPr>
        <w:t>розподілу природного газу</w:t>
      </w:r>
    </w:p>
    <w:p w14:paraId="62832C14" w14:textId="77777777" w:rsidR="00AE3912" w:rsidRPr="00AE3912" w:rsidRDefault="00AE3912" w:rsidP="00AE3912">
      <w:pPr>
        <w:ind w:firstLine="6804"/>
        <w:jc w:val="both"/>
        <w:rPr>
          <w:sz w:val="24"/>
          <w:szCs w:val="24"/>
          <w:lang w:eastAsia="en-US"/>
        </w:rPr>
      </w:pPr>
      <w:r w:rsidRPr="00AE3912">
        <w:rPr>
          <w:sz w:val="24"/>
          <w:szCs w:val="24"/>
          <w:lang w:eastAsia="en-US"/>
        </w:rPr>
        <w:t>(пункт 1.3 розділу І)</w:t>
      </w:r>
    </w:p>
    <w:p w14:paraId="5D3EDE18" w14:textId="77777777" w:rsidR="00AE3912" w:rsidRPr="00AE3912" w:rsidRDefault="00AE3912" w:rsidP="00AE3912">
      <w:pPr>
        <w:ind w:firstLine="6804"/>
        <w:jc w:val="both"/>
        <w:rPr>
          <w:sz w:val="24"/>
          <w:szCs w:val="24"/>
          <w:lang w:eastAsia="en-US"/>
        </w:rPr>
      </w:pPr>
    </w:p>
    <w:p w14:paraId="4FDB2EF6" w14:textId="6B37E970" w:rsidR="00AE3912" w:rsidRPr="00AE3912" w:rsidRDefault="00AE3912" w:rsidP="00AE3912">
      <w:pPr>
        <w:ind w:firstLine="5387"/>
        <w:jc w:val="both"/>
        <w:rPr>
          <w:sz w:val="24"/>
          <w:szCs w:val="24"/>
          <w:lang w:eastAsia="en-US"/>
        </w:rPr>
      </w:pPr>
      <w:r w:rsidRPr="00AE3912">
        <w:rPr>
          <w:sz w:val="24"/>
          <w:szCs w:val="24"/>
          <w:lang w:eastAsia="en-US"/>
        </w:rPr>
        <w:t>Споживачу: _________________________</w:t>
      </w:r>
    </w:p>
    <w:p w14:paraId="26A570F4" w14:textId="5F11E10B" w:rsidR="00AE3912" w:rsidRPr="00AE3912" w:rsidRDefault="00AE3912" w:rsidP="00AE3912">
      <w:pPr>
        <w:ind w:firstLine="6804"/>
        <w:jc w:val="both"/>
        <w:rPr>
          <w:sz w:val="24"/>
          <w:szCs w:val="24"/>
          <w:lang w:eastAsia="en-US"/>
        </w:rPr>
      </w:pPr>
      <w:r w:rsidRPr="00AE3912">
        <w:rPr>
          <w:sz w:val="24"/>
          <w:szCs w:val="24"/>
          <w:lang w:eastAsia="en-US"/>
        </w:rPr>
        <w:t>(П. І. Б. / найменування)</w:t>
      </w:r>
    </w:p>
    <w:p w14:paraId="33EB1576" w14:textId="77777777" w:rsidR="00AE3912" w:rsidRPr="0099243B" w:rsidRDefault="00AE3912" w:rsidP="00AE3912">
      <w:pPr>
        <w:ind w:firstLine="567"/>
        <w:jc w:val="center"/>
        <w:rPr>
          <w:b/>
          <w:bCs/>
          <w:i/>
          <w:sz w:val="18"/>
          <w:szCs w:val="18"/>
          <w:lang w:eastAsia="en-US"/>
        </w:rPr>
      </w:pPr>
    </w:p>
    <w:p w14:paraId="5CA31B05" w14:textId="77777777" w:rsidR="00AE3912" w:rsidRPr="00AE3912" w:rsidRDefault="00AE3912" w:rsidP="00AE3912">
      <w:pPr>
        <w:ind w:firstLine="567"/>
        <w:jc w:val="center"/>
        <w:rPr>
          <w:b/>
          <w:bCs/>
          <w:iCs/>
          <w:sz w:val="24"/>
          <w:szCs w:val="24"/>
          <w:lang w:eastAsia="en-US"/>
        </w:rPr>
      </w:pPr>
      <w:r w:rsidRPr="00AE3912">
        <w:rPr>
          <w:b/>
          <w:bCs/>
          <w:iCs/>
          <w:sz w:val="24"/>
          <w:szCs w:val="24"/>
          <w:lang w:eastAsia="en-US"/>
        </w:rPr>
        <w:t>ІНФОРМАЦІЙНИЙ ЛИСТ</w:t>
      </w:r>
    </w:p>
    <w:p w14:paraId="78506FC5" w14:textId="77777777" w:rsidR="00AE3912" w:rsidRPr="009B6748" w:rsidRDefault="00AE3912" w:rsidP="00AE3912">
      <w:pPr>
        <w:rPr>
          <w:b/>
          <w:bCs/>
          <w:iCs/>
          <w:sz w:val="12"/>
          <w:szCs w:val="12"/>
          <w:lang w:eastAsia="en-US"/>
        </w:rPr>
      </w:pPr>
    </w:p>
    <w:p w14:paraId="40DCDA6B" w14:textId="06829477" w:rsidR="00AE3912" w:rsidRPr="00AE3912" w:rsidRDefault="00AE3912" w:rsidP="00AE3912">
      <w:pPr>
        <w:ind w:firstLine="567"/>
        <w:jc w:val="both"/>
        <w:rPr>
          <w:iCs/>
          <w:sz w:val="24"/>
          <w:szCs w:val="24"/>
          <w:lang w:eastAsia="en-US"/>
        </w:rPr>
      </w:pPr>
      <w:r w:rsidRPr="00AE3912">
        <w:rPr>
          <w:iCs/>
          <w:sz w:val="24"/>
          <w:szCs w:val="24"/>
          <w:lang w:eastAsia="en-US"/>
        </w:rPr>
        <w:t xml:space="preserve">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w:t>
      </w:r>
      <w:r w:rsidR="00E929A5">
        <w:rPr>
          <w:iCs/>
          <w:sz w:val="24"/>
          <w:szCs w:val="24"/>
          <w:lang w:eastAsia="en-US"/>
        </w:rPr>
        <w:t>Київ</w:t>
      </w:r>
      <w:r w:rsidRPr="00AE3912">
        <w:rPr>
          <w:iCs/>
          <w:sz w:val="24"/>
          <w:szCs w:val="24"/>
          <w:lang w:eastAsia="en-US"/>
        </w:rPr>
        <w:t>ської</w:t>
      </w:r>
      <w:r w:rsidR="00E929A5">
        <w:rPr>
          <w:iCs/>
          <w:sz w:val="24"/>
          <w:szCs w:val="24"/>
          <w:lang w:eastAsia="en-US"/>
        </w:rPr>
        <w:t> </w:t>
      </w:r>
      <w:r w:rsidRPr="00AE3912">
        <w:rPr>
          <w:iCs/>
          <w:sz w:val="24"/>
          <w:szCs w:val="24"/>
          <w:lang w:eastAsia="en-US"/>
        </w:rPr>
        <w:t>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73B40C77" w14:textId="050E8E92" w:rsidR="00AE3912" w:rsidRPr="00AE3912" w:rsidRDefault="00AE3912" w:rsidP="00AE3912">
      <w:pPr>
        <w:ind w:firstLine="567"/>
        <w:jc w:val="both"/>
        <w:rPr>
          <w:iCs/>
          <w:sz w:val="24"/>
          <w:szCs w:val="24"/>
          <w:lang w:eastAsia="en-US"/>
        </w:rPr>
      </w:pPr>
      <w:r w:rsidRPr="00AE3912">
        <w:rPr>
          <w:iCs/>
          <w:sz w:val="24"/>
          <w:szCs w:val="24"/>
          <w:lang w:eastAsia="en-US"/>
        </w:rPr>
        <w:t xml:space="preserve">Ознайомитись з умовами Договору можливо на офіційному сайті НКРЕКП, сайті Оператора ГРМ в мережі Інтернет за </w:t>
      </w:r>
      <w:proofErr w:type="spellStart"/>
      <w:r w:rsidRPr="00AE3912">
        <w:rPr>
          <w:iCs/>
          <w:sz w:val="24"/>
          <w:szCs w:val="24"/>
          <w:lang w:eastAsia="en-US"/>
        </w:rPr>
        <w:t>адресою</w:t>
      </w:r>
      <w:proofErr w:type="spellEnd"/>
      <w:r w:rsidRPr="00AE3912">
        <w:rPr>
          <w:iCs/>
          <w:sz w:val="24"/>
          <w:szCs w:val="24"/>
          <w:lang w:eastAsia="en-US"/>
        </w:rPr>
        <w:t>:</w:t>
      </w:r>
      <w:hyperlink w:history="1"/>
      <w:r w:rsidRPr="00AE3912">
        <w:rPr>
          <w:iCs/>
          <w:sz w:val="24"/>
          <w:szCs w:val="24"/>
          <w:lang w:eastAsia="en-US"/>
        </w:rPr>
        <w:t xml:space="preserve"> </w:t>
      </w:r>
      <w:hyperlink r:id="rId6" w:history="1">
        <w:r w:rsidRPr="00AE3912">
          <w:rPr>
            <w:rStyle w:val="a4"/>
            <w:iCs/>
            <w:sz w:val="24"/>
            <w:szCs w:val="24"/>
          </w:rPr>
          <w:t>https</w:t>
        </w:r>
        <w:r w:rsidRPr="00AE3912">
          <w:rPr>
            <w:rStyle w:val="a4"/>
            <w:iCs/>
            <w:sz w:val="24"/>
            <w:szCs w:val="24"/>
            <w:lang w:val="uk"/>
          </w:rPr>
          <w:t>://</w:t>
        </w:r>
        <w:r w:rsidRPr="00AE3912">
          <w:rPr>
            <w:rStyle w:val="a4"/>
            <w:iCs/>
            <w:sz w:val="24"/>
            <w:szCs w:val="24"/>
          </w:rPr>
          <w:t>kv</w:t>
        </w:r>
        <w:r w:rsidRPr="00AE3912">
          <w:rPr>
            <w:rStyle w:val="a4"/>
            <w:iCs/>
            <w:sz w:val="24"/>
            <w:szCs w:val="24"/>
            <w:lang w:val="uk"/>
          </w:rPr>
          <w:t>.</w:t>
        </w:r>
        <w:r w:rsidRPr="00AE3912">
          <w:rPr>
            <w:rStyle w:val="a4"/>
            <w:iCs/>
            <w:sz w:val="24"/>
            <w:szCs w:val="24"/>
          </w:rPr>
          <w:t>grmu</w:t>
        </w:r>
        <w:r w:rsidRPr="00AE3912">
          <w:rPr>
            <w:rStyle w:val="a4"/>
            <w:iCs/>
            <w:sz w:val="24"/>
            <w:szCs w:val="24"/>
            <w:lang w:val="uk"/>
          </w:rPr>
          <w:t>.</w:t>
        </w:r>
        <w:r w:rsidRPr="00AE3912">
          <w:rPr>
            <w:rStyle w:val="a4"/>
            <w:iCs/>
            <w:sz w:val="24"/>
            <w:szCs w:val="24"/>
          </w:rPr>
          <w:t>com</w:t>
        </w:r>
        <w:r w:rsidRPr="00AE3912">
          <w:rPr>
            <w:rStyle w:val="a4"/>
            <w:iCs/>
            <w:sz w:val="24"/>
            <w:szCs w:val="24"/>
            <w:lang w:val="uk"/>
          </w:rPr>
          <w:t>.</w:t>
        </w:r>
        <w:r w:rsidRPr="00AE3912">
          <w:rPr>
            <w:rStyle w:val="a4"/>
            <w:iCs/>
            <w:sz w:val="24"/>
            <w:szCs w:val="24"/>
          </w:rPr>
          <w:t>ua</w:t>
        </w:r>
        <w:r w:rsidRPr="00AE3912">
          <w:rPr>
            <w:rStyle w:val="a4"/>
            <w:iCs/>
            <w:sz w:val="24"/>
            <w:szCs w:val="24"/>
            <w:lang w:val="uk"/>
          </w:rPr>
          <w:t>/</w:t>
        </w:r>
      </w:hyperlink>
      <w:r w:rsidRPr="00AE3912">
        <w:rPr>
          <w:iCs/>
          <w:sz w:val="24"/>
          <w:szCs w:val="24"/>
          <w:lang w:eastAsia="en-US"/>
        </w:rPr>
        <w:t xml:space="preserve"> та в друкованому виданні, що публікується в межах території ліцензованої діяльності: «Хрещатик Київ» від</w:t>
      </w:r>
      <w:r w:rsidR="00FA43A1">
        <w:rPr>
          <w:iCs/>
          <w:sz w:val="24"/>
          <w:szCs w:val="24"/>
          <w:lang w:val="ru-RU" w:eastAsia="en-US"/>
        </w:rPr>
        <w:t> </w:t>
      </w:r>
      <w:r w:rsidRPr="00AE3912">
        <w:rPr>
          <w:iCs/>
          <w:sz w:val="24"/>
          <w:szCs w:val="24"/>
          <w:lang w:eastAsia="en-US"/>
        </w:rPr>
        <w:t>05.09.2023</w:t>
      </w:r>
      <w:r w:rsidR="00FA43A1">
        <w:rPr>
          <w:iCs/>
          <w:sz w:val="24"/>
          <w:szCs w:val="24"/>
          <w:lang w:val="ru-RU" w:eastAsia="en-US"/>
        </w:rPr>
        <w:t> </w:t>
      </w:r>
      <w:r w:rsidRPr="00AE3912">
        <w:rPr>
          <w:iCs/>
          <w:sz w:val="24"/>
          <w:szCs w:val="24"/>
          <w:lang w:eastAsia="en-US"/>
        </w:rPr>
        <w:t>року № 23.</w:t>
      </w:r>
    </w:p>
    <w:p w14:paraId="5D4F2A03" w14:textId="77777777" w:rsidR="00AE3912" w:rsidRPr="00AE3912" w:rsidRDefault="00AE3912" w:rsidP="00AE3912">
      <w:pPr>
        <w:ind w:firstLine="567"/>
        <w:jc w:val="both"/>
        <w:rPr>
          <w:iCs/>
          <w:sz w:val="24"/>
          <w:szCs w:val="24"/>
          <w:lang w:eastAsia="en-US"/>
        </w:rPr>
      </w:pPr>
      <w:r w:rsidRPr="00AE3912">
        <w:rPr>
          <w:iCs/>
          <w:sz w:val="24"/>
          <w:szCs w:val="24"/>
          <w:lang w:eastAsia="en-US"/>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410BADCD" w14:textId="77777777" w:rsidR="00AE3912" w:rsidRPr="00AE3912" w:rsidRDefault="00AE3912" w:rsidP="00AE3912">
      <w:pPr>
        <w:ind w:firstLine="567"/>
        <w:jc w:val="both"/>
        <w:rPr>
          <w:iCs/>
          <w:sz w:val="24"/>
          <w:szCs w:val="24"/>
          <w:lang w:eastAsia="en-US"/>
        </w:rPr>
      </w:pPr>
      <w:r w:rsidRPr="00AE3912">
        <w:rPr>
          <w:iCs/>
          <w:sz w:val="24"/>
          <w:szCs w:val="24"/>
          <w:lang w:eastAsia="en-US"/>
        </w:rPr>
        <w:t xml:space="preserve">Відповідно до п.7. гл.3 розділу </w:t>
      </w:r>
      <w:r w:rsidRPr="00AE3912">
        <w:rPr>
          <w:iCs/>
          <w:sz w:val="24"/>
          <w:szCs w:val="24"/>
          <w:lang w:val="en-US" w:eastAsia="en-US"/>
        </w:rPr>
        <w:t>VI</w:t>
      </w:r>
      <w:r w:rsidRPr="00AE3912">
        <w:rPr>
          <w:iCs/>
          <w:sz w:val="24"/>
          <w:szCs w:val="24"/>
          <w:lang w:eastAsia="en-US"/>
        </w:rPr>
        <w:t xml:space="preserve"> Кодексу ГРМ </w:t>
      </w:r>
      <w:r w:rsidRPr="00AE3912">
        <w:rPr>
          <w:iCs/>
          <w:sz w:val="24"/>
          <w:szCs w:val="24"/>
          <w:shd w:val="clear" w:color="auto" w:fill="FFFFFF"/>
        </w:rPr>
        <w:t>фактом приєднання споживача до умов договору розподілу природного газу (</w:t>
      </w:r>
      <w:r w:rsidRPr="00AE3912">
        <w:rPr>
          <w:iCs/>
          <w:sz w:val="24"/>
          <w:szCs w:val="24"/>
        </w:rPr>
        <w:t>акцептування</w:t>
      </w:r>
      <w:r w:rsidRPr="00AE3912">
        <w:rPr>
          <w:iCs/>
          <w:sz w:val="24"/>
          <w:szCs w:val="24"/>
          <w:shd w:val="clear" w:color="auto" w:fill="FFFFFF"/>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78175CD9" w14:textId="77777777" w:rsidR="00AE3912" w:rsidRPr="00AE3912" w:rsidRDefault="00AE3912" w:rsidP="00AE3912">
      <w:pPr>
        <w:ind w:firstLine="567"/>
        <w:jc w:val="both"/>
        <w:rPr>
          <w:iCs/>
          <w:sz w:val="24"/>
          <w:szCs w:val="24"/>
          <w:lang w:eastAsia="en-US"/>
        </w:rPr>
      </w:pPr>
      <w:r w:rsidRPr="00AE3912">
        <w:rPr>
          <w:iCs/>
          <w:sz w:val="24"/>
          <w:szCs w:val="24"/>
          <w:lang w:eastAsia="en-US"/>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3351E6B2" w14:textId="77777777" w:rsidR="00AE3912" w:rsidRDefault="00AE3912" w:rsidP="00AE3912">
      <w:pPr>
        <w:ind w:firstLine="567"/>
        <w:jc w:val="both"/>
        <w:rPr>
          <w:iCs/>
          <w:sz w:val="24"/>
          <w:szCs w:val="24"/>
          <w:lang w:eastAsia="en-US"/>
        </w:rPr>
      </w:pPr>
      <w:r w:rsidRPr="00AE3912">
        <w:rPr>
          <w:iCs/>
          <w:sz w:val="24"/>
          <w:szCs w:val="24"/>
          <w:lang w:eastAsia="en-US"/>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14899153" w14:textId="77777777" w:rsidR="009B6748" w:rsidRPr="00AE3912" w:rsidRDefault="009B6748" w:rsidP="00AE3912">
      <w:pPr>
        <w:ind w:firstLine="567"/>
        <w:jc w:val="both"/>
        <w:rPr>
          <w:iCs/>
          <w:sz w:val="24"/>
          <w:szCs w:val="24"/>
          <w:lang w:eastAsia="en-US"/>
        </w:rPr>
      </w:pPr>
    </w:p>
    <w:p w14:paraId="680C09DC" w14:textId="77777777" w:rsidR="00AE3912" w:rsidRPr="00AE3912" w:rsidRDefault="00AE3912" w:rsidP="00AE3912">
      <w:pPr>
        <w:jc w:val="both"/>
        <w:rPr>
          <w:iCs/>
          <w:sz w:val="24"/>
          <w:szCs w:val="24"/>
          <w:lang w:eastAsia="en-US"/>
        </w:rPr>
      </w:pPr>
      <w:r w:rsidRPr="00AE3912">
        <w:rPr>
          <w:iCs/>
          <w:sz w:val="24"/>
          <w:szCs w:val="24"/>
          <w:lang w:eastAsia="en-US"/>
        </w:rPr>
        <w:t xml:space="preserve">            Реквізити Оператора ГРМ:</w:t>
      </w:r>
    </w:p>
    <w:p w14:paraId="30E33CE7" w14:textId="77777777" w:rsidR="00AE3912" w:rsidRPr="00AE3912" w:rsidRDefault="00AE3912" w:rsidP="00AE3912">
      <w:pPr>
        <w:ind w:firstLine="720"/>
        <w:jc w:val="both"/>
        <w:rPr>
          <w:b/>
          <w:iCs/>
          <w:sz w:val="24"/>
          <w:szCs w:val="24"/>
          <w:lang w:val="ru-RU"/>
        </w:rPr>
      </w:pPr>
      <w:r w:rsidRPr="00AE3912">
        <w:rPr>
          <w:b/>
          <w:iCs/>
          <w:sz w:val="24"/>
          <w:szCs w:val="24"/>
          <w:lang w:val="ru-RU"/>
        </w:rPr>
        <w:t>ТОВ «</w:t>
      </w:r>
      <w:proofErr w:type="spellStart"/>
      <w:r w:rsidRPr="00AE3912">
        <w:rPr>
          <w:b/>
          <w:iCs/>
          <w:sz w:val="24"/>
          <w:szCs w:val="24"/>
          <w:lang w:val="ru-RU"/>
        </w:rPr>
        <w:t>Газорозподільні</w:t>
      </w:r>
      <w:proofErr w:type="spellEnd"/>
      <w:r w:rsidRPr="00AE3912">
        <w:rPr>
          <w:b/>
          <w:iCs/>
          <w:sz w:val="24"/>
          <w:szCs w:val="24"/>
          <w:lang w:val="ru-RU"/>
        </w:rPr>
        <w:t xml:space="preserve"> </w:t>
      </w:r>
      <w:proofErr w:type="spellStart"/>
      <w:r w:rsidRPr="00AE3912">
        <w:rPr>
          <w:b/>
          <w:iCs/>
          <w:sz w:val="24"/>
          <w:szCs w:val="24"/>
          <w:lang w:val="ru-RU"/>
        </w:rPr>
        <w:t>мережі</w:t>
      </w:r>
      <w:proofErr w:type="spellEnd"/>
      <w:r w:rsidRPr="00AE3912">
        <w:rPr>
          <w:b/>
          <w:iCs/>
          <w:sz w:val="24"/>
          <w:szCs w:val="24"/>
          <w:lang w:val="ru-RU"/>
        </w:rPr>
        <w:t xml:space="preserve"> </w:t>
      </w:r>
      <w:proofErr w:type="spellStart"/>
      <w:r w:rsidRPr="00AE3912">
        <w:rPr>
          <w:b/>
          <w:iCs/>
          <w:sz w:val="24"/>
          <w:szCs w:val="24"/>
          <w:lang w:val="ru-RU"/>
        </w:rPr>
        <w:t>України</w:t>
      </w:r>
      <w:proofErr w:type="spellEnd"/>
      <w:r w:rsidRPr="00AE3912">
        <w:rPr>
          <w:b/>
          <w:iCs/>
          <w:sz w:val="24"/>
          <w:szCs w:val="24"/>
          <w:lang w:val="ru-RU"/>
        </w:rPr>
        <w:t>»</w:t>
      </w:r>
    </w:p>
    <w:p w14:paraId="29D97C9E" w14:textId="77777777" w:rsidR="00AE3912" w:rsidRPr="009073E5" w:rsidRDefault="00AE3912" w:rsidP="00AE3912">
      <w:pPr>
        <w:ind w:firstLine="720"/>
        <w:jc w:val="both"/>
        <w:rPr>
          <w:b/>
          <w:iCs/>
          <w:sz w:val="24"/>
          <w:szCs w:val="24"/>
        </w:rPr>
      </w:pPr>
      <w:r w:rsidRPr="009073E5">
        <w:rPr>
          <w:b/>
          <w:iCs/>
          <w:sz w:val="24"/>
          <w:szCs w:val="24"/>
          <w:lang w:val="ru-RU"/>
        </w:rPr>
        <w:t xml:space="preserve">в </w:t>
      </w:r>
      <w:proofErr w:type="spellStart"/>
      <w:r w:rsidRPr="009073E5">
        <w:rPr>
          <w:b/>
          <w:iCs/>
          <w:sz w:val="24"/>
          <w:szCs w:val="24"/>
          <w:lang w:val="ru-RU"/>
        </w:rPr>
        <w:t>особі</w:t>
      </w:r>
      <w:proofErr w:type="spellEnd"/>
      <w:r w:rsidRPr="009073E5">
        <w:rPr>
          <w:b/>
          <w:iCs/>
          <w:sz w:val="24"/>
          <w:szCs w:val="24"/>
          <w:lang w:val="ru-RU"/>
        </w:rPr>
        <w:t xml:space="preserve"> Київської філії</w:t>
      </w:r>
      <w:r w:rsidRPr="009073E5">
        <w:rPr>
          <w:b/>
          <w:iCs/>
          <w:sz w:val="24"/>
          <w:szCs w:val="24"/>
        </w:rPr>
        <w:t xml:space="preserve"> </w:t>
      </w:r>
    </w:p>
    <w:p w14:paraId="178E8FCB" w14:textId="77777777" w:rsidR="00AE3912" w:rsidRDefault="00AE3912" w:rsidP="00AE3912">
      <w:pPr>
        <w:ind w:firstLine="720"/>
        <w:jc w:val="both"/>
        <w:rPr>
          <w:b/>
          <w:iCs/>
          <w:sz w:val="24"/>
          <w:szCs w:val="24"/>
          <w:lang w:val="ru-RU"/>
        </w:rPr>
      </w:pPr>
      <w:r w:rsidRPr="009073E5">
        <w:rPr>
          <w:b/>
          <w:iCs/>
          <w:sz w:val="24"/>
          <w:szCs w:val="24"/>
          <w:lang w:val="ru-RU"/>
        </w:rPr>
        <w:t>ТОВ «</w:t>
      </w:r>
      <w:proofErr w:type="spellStart"/>
      <w:r w:rsidRPr="009073E5">
        <w:rPr>
          <w:b/>
          <w:iCs/>
          <w:sz w:val="24"/>
          <w:szCs w:val="24"/>
          <w:lang w:val="ru-RU"/>
        </w:rPr>
        <w:t>Газорозподільні</w:t>
      </w:r>
      <w:proofErr w:type="spellEnd"/>
      <w:r w:rsidRPr="009073E5">
        <w:rPr>
          <w:b/>
          <w:iCs/>
          <w:sz w:val="24"/>
          <w:szCs w:val="24"/>
          <w:lang w:val="ru-RU"/>
        </w:rPr>
        <w:t xml:space="preserve"> </w:t>
      </w:r>
      <w:proofErr w:type="spellStart"/>
      <w:r w:rsidRPr="009073E5">
        <w:rPr>
          <w:b/>
          <w:iCs/>
          <w:sz w:val="24"/>
          <w:szCs w:val="24"/>
          <w:lang w:val="ru-RU"/>
        </w:rPr>
        <w:t>мережі</w:t>
      </w:r>
      <w:proofErr w:type="spellEnd"/>
      <w:r w:rsidRPr="009073E5">
        <w:rPr>
          <w:b/>
          <w:iCs/>
          <w:sz w:val="24"/>
          <w:szCs w:val="24"/>
          <w:lang w:val="ru-RU"/>
        </w:rPr>
        <w:t xml:space="preserve"> </w:t>
      </w:r>
      <w:proofErr w:type="spellStart"/>
      <w:r w:rsidRPr="009073E5">
        <w:rPr>
          <w:b/>
          <w:iCs/>
          <w:sz w:val="24"/>
          <w:szCs w:val="24"/>
          <w:lang w:val="ru-RU"/>
        </w:rPr>
        <w:t>України</w:t>
      </w:r>
      <w:proofErr w:type="spellEnd"/>
      <w:r w:rsidRPr="009073E5">
        <w:rPr>
          <w:b/>
          <w:iCs/>
          <w:sz w:val="24"/>
          <w:szCs w:val="24"/>
          <w:lang w:val="ru-RU"/>
        </w:rPr>
        <w:t>»</w:t>
      </w:r>
    </w:p>
    <w:p w14:paraId="0C29D1F1" w14:textId="77777777" w:rsidR="009B6748" w:rsidRDefault="009B6748" w:rsidP="00AE3912">
      <w:pPr>
        <w:ind w:firstLine="720"/>
        <w:jc w:val="both"/>
        <w:rPr>
          <w:b/>
          <w:iCs/>
          <w:sz w:val="24"/>
          <w:szCs w:val="24"/>
          <w:lang w:val="ru-RU"/>
        </w:rPr>
      </w:pPr>
    </w:p>
    <w:p w14:paraId="167BDE03" w14:textId="77777777" w:rsidR="009B6748" w:rsidRPr="009073E5" w:rsidRDefault="009B6748" w:rsidP="00AE3912">
      <w:pPr>
        <w:ind w:firstLine="720"/>
        <w:jc w:val="both"/>
        <w:rPr>
          <w:b/>
          <w:iCs/>
          <w:sz w:val="24"/>
          <w:szCs w:val="24"/>
          <w:lang w:val="ru-RU"/>
        </w:rPr>
      </w:pPr>
    </w:p>
    <w:p w14:paraId="6E910AC7" w14:textId="77777777" w:rsidR="00AE3912" w:rsidRPr="00FA43A1" w:rsidRDefault="00AE3912" w:rsidP="00AE3912">
      <w:pPr>
        <w:ind w:firstLine="720"/>
        <w:jc w:val="both"/>
        <w:rPr>
          <w:iCs/>
          <w:sz w:val="24"/>
          <w:szCs w:val="24"/>
        </w:rPr>
      </w:pPr>
      <w:r w:rsidRPr="00FA43A1">
        <w:rPr>
          <w:iCs/>
          <w:sz w:val="24"/>
          <w:szCs w:val="24"/>
        </w:rPr>
        <w:t xml:space="preserve">Телефон </w:t>
      </w:r>
      <w:proofErr w:type="spellStart"/>
      <w:r w:rsidRPr="00FA43A1">
        <w:rPr>
          <w:iCs/>
          <w:sz w:val="24"/>
          <w:szCs w:val="24"/>
        </w:rPr>
        <w:t>колл</w:t>
      </w:r>
      <w:proofErr w:type="spellEnd"/>
      <w:r w:rsidRPr="00FA43A1">
        <w:rPr>
          <w:iCs/>
          <w:sz w:val="24"/>
          <w:szCs w:val="24"/>
        </w:rPr>
        <w:t>-центру - 0800 303 104</w:t>
      </w:r>
    </w:p>
    <w:p w14:paraId="4D577219" w14:textId="77777777" w:rsidR="00AE3912" w:rsidRPr="00AE3912" w:rsidRDefault="00AE3912" w:rsidP="00AE3912">
      <w:pPr>
        <w:ind w:firstLine="720"/>
        <w:jc w:val="both"/>
        <w:rPr>
          <w:iCs/>
          <w:sz w:val="24"/>
          <w:szCs w:val="24"/>
          <w:lang w:val="ru-RU"/>
        </w:rPr>
      </w:pPr>
      <w:r w:rsidRPr="00BA062F">
        <w:rPr>
          <w:iCs/>
          <w:sz w:val="24"/>
          <w:szCs w:val="24"/>
          <w:lang w:val="ru-RU"/>
        </w:rPr>
        <w:t xml:space="preserve">Телефон </w:t>
      </w:r>
      <w:proofErr w:type="spellStart"/>
      <w:r w:rsidRPr="00BA062F">
        <w:rPr>
          <w:iCs/>
          <w:sz w:val="24"/>
          <w:szCs w:val="24"/>
          <w:lang w:val="ru-RU"/>
        </w:rPr>
        <w:t>аварійно-диспетчерської</w:t>
      </w:r>
      <w:proofErr w:type="spellEnd"/>
      <w:r w:rsidRPr="00BA062F">
        <w:rPr>
          <w:iCs/>
          <w:sz w:val="24"/>
          <w:szCs w:val="24"/>
          <w:lang w:val="ru-RU"/>
        </w:rPr>
        <w:t xml:space="preserve"> </w:t>
      </w:r>
      <w:proofErr w:type="spellStart"/>
      <w:r w:rsidRPr="00BA062F">
        <w:rPr>
          <w:iCs/>
          <w:sz w:val="24"/>
          <w:szCs w:val="24"/>
          <w:lang w:val="ru-RU"/>
        </w:rPr>
        <w:t>служби</w:t>
      </w:r>
      <w:proofErr w:type="spellEnd"/>
      <w:r w:rsidRPr="00BA062F">
        <w:rPr>
          <w:iCs/>
          <w:sz w:val="24"/>
          <w:szCs w:val="24"/>
          <w:lang w:val="ru-RU"/>
        </w:rPr>
        <w:t xml:space="preserve"> – 104</w:t>
      </w:r>
    </w:p>
    <w:p w14:paraId="2EC10206" w14:textId="77777777" w:rsidR="00AE3912" w:rsidRPr="00AE3912" w:rsidRDefault="00AE3912" w:rsidP="00AE3912">
      <w:pPr>
        <w:ind w:firstLine="720"/>
        <w:jc w:val="both"/>
        <w:rPr>
          <w:iCs/>
          <w:sz w:val="24"/>
          <w:szCs w:val="24"/>
          <w:lang w:val="ru-RU"/>
        </w:rPr>
      </w:pPr>
    </w:p>
    <w:p w14:paraId="3D776AF5" w14:textId="77777777" w:rsidR="00AE3912" w:rsidRPr="0040114A" w:rsidRDefault="00AE3912" w:rsidP="00AE3912">
      <w:pPr>
        <w:ind w:firstLine="720"/>
        <w:jc w:val="both"/>
        <w:rPr>
          <w:iCs/>
          <w:sz w:val="24"/>
          <w:szCs w:val="24"/>
        </w:rPr>
      </w:pPr>
      <w:r w:rsidRPr="0040114A">
        <w:rPr>
          <w:iCs/>
          <w:sz w:val="24"/>
          <w:szCs w:val="24"/>
        </w:rPr>
        <w:t>реквізити для оплати за послуги розподілу побутовим споживачам</w:t>
      </w:r>
    </w:p>
    <w:p w14:paraId="02FEA74B" w14:textId="2C9CC294" w:rsidR="00BA062F" w:rsidRPr="0040114A" w:rsidRDefault="00BA062F" w:rsidP="00BA062F">
      <w:pPr>
        <w:spacing w:line="240" w:lineRule="atLeast"/>
        <w:ind w:firstLine="709"/>
        <w:rPr>
          <w:iCs/>
          <w:sz w:val="24"/>
          <w:szCs w:val="24"/>
        </w:rPr>
      </w:pPr>
      <w:r w:rsidRPr="0040114A">
        <w:rPr>
          <w:iCs/>
          <w:sz w:val="24"/>
          <w:szCs w:val="24"/>
        </w:rPr>
        <w:t xml:space="preserve">IBAN: </w:t>
      </w:r>
      <w:r w:rsidR="009500BD" w:rsidRPr="00481672">
        <w:rPr>
          <w:iCs/>
          <w:sz w:val="24"/>
          <w:szCs w:val="24"/>
        </w:rPr>
        <w:t>UA</w:t>
      </w:r>
      <w:r w:rsidR="009500BD" w:rsidRPr="00E929A5">
        <w:rPr>
          <w:iCs/>
          <w:sz w:val="24"/>
          <w:szCs w:val="24"/>
        </w:rPr>
        <w:t>233004650000026033300344249</w:t>
      </w:r>
    </w:p>
    <w:p w14:paraId="7E649127" w14:textId="77777777" w:rsidR="00BA062F" w:rsidRPr="0040114A" w:rsidRDefault="00BA062F" w:rsidP="00BA062F">
      <w:pPr>
        <w:spacing w:line="240" w:lineRule="atLeast"/>
        <w:ind w:firstLine="709"/>
        <w:rPr>
          <w:iCs/>
          <w:sz w:val="24"/>
          <w:szCs w:val="24"/>
        </w:rPr>
      </w:pPr>
      <w:r w:rsidRPr="0040114A">
        <w:rPr>
          <w:iCs/>
          <w:sz w:val="24"/>
          <w:szCs w:val="24"/>
        </w:rPr>
        <w:t>АТ «ОЩАДБАНК»</w:t>
      </w:r>
    </w:p>
    <w:p w14:paraId="5B2AE7C6" w14:textId="73218C1D" w:rsidR="00AE3912" w:rsidRPr="0040114A" w:rsidRDefault="00BA062F" w:rsidP="00BA062F">
      <w:pPr>
        <w:ind w:firstLine="720"/>
        <w:jc w:val="both"/>
        <w:rPr>
          <w:iCs/>
          <w:sz w:val="24"/>
          <w:szCs w:val="24"/>
        </w:rPr>
      </w:pPr>
      <w:r w:rsidRPr="0040114A">
        <w:rPr>
          <w:iCs/>
          <w:sz w:val="24"/>
          <w:szCs w:val="24"/>
        </w:rPr>
        <w:t>МФО 300465</w:t>
      </w:r>
    </w:p>
    <w:p w14:paraId="257A99A4" w14:textId="77777777" w:rsidR="00BA062F" w:rsidRPr="0040114A" w:rsidRDefault="00BA062F" w:rsidP="00BA062F">
      <w:pPr>
        <w:ind w:firstLine="720"/>
        <w:jc w:val="both"/>
        <w:rPr>
          <w:iCs/>
          <w:sz w:val="24"/>
          <w:szCs w:val="24"/>
          <w:highlight w:val="yellow"/>
        </w:rPr>
      </w:pPr>
    </w:p>
    <w:p w14:paraId="180A8CF2" w14:textId="77777777" w:rsidR="00AE3912" w:rsidRPr="0040114A" w:rsidRDefault="00AE3912" w:rsidP="00AE3912">
      <w:pPr>
        <w:ind w:firstLine="720"/>
        <w:jc w:val="both"/>
        <w:rPr>
          <w:iCs/>
          <w:sz w:val="24"/>
          <w:szCs w:val="24"/>
        </w:rPr>
      </w:pPr>
      <w:r w:rsidRPr="0040114A">
        <w:rPr>
          <w:iCs/>
          <w:sz w:val="24"/>
          <w:szCs w:val="24"/>
        </w:rPr>
        <w:t>реквізити для оплати за послуги розподілу с</w:t>
      </w:r>
      <w:proofErr w:type="spellStart"/>
      <w:r w:rsidRPr="0040114A">
        <w:rPr>
          <w:rStyle w:val="spanrvts0"/>
          <w:rFonts w:eastAsia="Calibri"/>
          <w:iCs/>
          <w:lang w:val="uk" w:eastAsia="uk"/>
        </w:rPr>
        <w:t>поживачам</w:t>
      </w:r>
      <w:proofErr w:type="spellEnd"/>
      <w:r w:rsidRPr="0040114A">
        <w:rPr>
          <w:rStyle w:val="spanrvts0"/>
          <w:rFonts w:eastAsia="Calibri"/>
          <w:iCs/>
          <w:lang w:val="uk" w:eastAsia="uk"/>
        </w:rPr>
        <w:t>, що не є побутовими</w:t>
      </w:r>
    </w:p>
    <w:p w14:paraId="7D0FFC9A" w14:textId="5AE0AA09" w:rsidR="00BA062F" w:rsidRPr="0040114A" w:rsidRDefault="00BA062F" w:rsidP="00BA062F">
      <w:pPr>
        <w:spacing w:line="240" w:lineRule="atLeast"/>
        <w:ind w:firstLine="709"/>
        <w:rPr>
          <w:iCs/>
          <w:sz w:val="24"/>
          <w:szCs w:val="24"/>
        </w:rPr>
      </w:pPr>
      <w:r w:rsidRPr="0040114A">
        <w:rPr>
          <w:iCs/>
          <w:sz w:val="24"/>
          <w:szCs w:val="24"/>
        </w:rPr>
        <w:t xml:space="preserve">IBAN: </w:t>
      </w:r>
      <w:r w:rsidR="009500BD" w:rsidRPr="00481672">
        <w:rPr>
          <w:iCs/>
          <w:sz w:val="24"/>
          <w:szCs w:val="24"/>
        </w:rPr>
        <w:t>UA</w:t>
      </w:r>
      <w:r w:rsidR="009500BD" w:rsidRPr="00E929A5">
        <w:rPr>
          <w:iCs/>
          <w:sz w:val="24"/>
          <w:szCs w:val="24"/>
        </w:rPr>
        <w:t>183004650000026032301344249</w:t>
      </w:r>
    </w:p>
    <w:p w14:paraId="695A9A87" w14:textId="77777777" w:rsidR="00BA062F" w:rsidRPr="0040114A" w:rsidRDefault="00BA062F" w:rsidP="00BA062F">
      <w:pPr>
        <w:spacing w:line="240" w:lineRule="atLeast"/>
        <w:ind w:firstLine="709"/>
        <w:rPr>
          <w:iCs/>
          <w:sz w:val="24"/>
          <w:szCs w:val="24"/>
        </w:rPr>
      </w:pPr>
      <w:r w:rsidRPr="0040114A">
        <w:rPr>
          <w:iCs/>
          <w:sz w:val="24"/>
          <w:szCs w:val="24"/>
        </w:rPr>
        <w:t>АТ «ОЩАДБАНК»</w:t>
      </w:r>
    </w:p>
    <w:p w14:paraId="53E70D2D" w14:textId="77777777" w:rsidR="00BA062F" w:rsidRPr="0040114A" w:rsidRDefault="00BA062F" w:rsidP="00BA062F">
      <w:pPr>
        <w:spacing w:line="240" w:lineRule="atLeast"/>
        <w:ind w:firstLine="709"/>
        <w:rPr>
          <w:iCs/>
          <w:sz w:val="24"/>
          <w:szCs w:val="24"/>
        </w:rPr>
      </w:pPr>
      <w:r w:rsidRPr="0040114A">
        <w:rPr>
          <w:iCs/>
          <w:sz w:val="24"/>
          <w:szCs w:val="24"/>
        </w:rPr>
        <w:t>МФО 300465</w:t>
      </w:r>
    </w:p>
    <w:p w14:paraId="30EB43A8" w14:textId="24DDFCF9" w:rsidR="0067256E" w:rsidRPr="00BA062F" w:rsidRDefault="0067256E" w:rsidP="001474D9">
      <w:pPr>
        <w:ind w:firstLine="708"/>
        <w:jc w:val="both"/>
        <w:rPr>
          <w:iCs/>
          <w:sz w:val="24"/>
          <w:szCs w:val="24"/>
        </w:rPr>
      </w:pPr>
    </w:p>
    <w:sectPr w:rsidR="0067256E" w:rsidRPr="00BA062F" w:rsidSect="009B6748">
      <w:pgSz w:w="11906" w:h="16838"/>
      <w:pgMar w:top="851" w:right="849"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CC"/>
    <w:family w:val="auto"/>
    <w:pitch w:val="variable"/>
    <w:sig w:usb0="A00002FF" w:usb1="4000247B" w:usb2="00000000" w:usb3="00000000" w:csb0="00000197"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EA4"/>
    <w:multiLevelType w:val="hybridMultilevel"/>
    <w:tmpl w:val="058C3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D17A3C"/>
    <w:multiLevelType w:val="hybridMultilevel"/>
    <w:tmpl w:val="595ED970"/>
    <w:lvl w:ilvl="0" w:tplc="0D083A50">
      <w:start w:val="5"/>
      <w:numFmt w:val="bullet"/>
      <w:lvlText w:val="-"/>
      <w:lvlJc w:val="left"/>
      <w:pPr>
        <w:ind w:left="1800" w:hanging="360"/>
      </w:pPr>
      <w:rPr>
        <w:rFonts w:ascii="Times New Roman" w:eastAsia="Calibri"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8065034"/>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ADB010A"/>
    <w:multiLevelType w:val="multilevel"/>
    <w:tmpl w:val="5C7092BA"/>
    <w:lvl w:ilvl="0">
      <w:start w:val="1"/>
      <w:numFmt w:val="decimal"/>
      <w:lvlText w:val="%1."/>
      <w:lvlJc w:val="left"/>
      <w:pPr>
        <w:ind w:left="928" w:hanging="360"/>
      </w:pPr>
      <w:rPr>
        <w:rFonts w:cs="Times New Roman"/>
        <w:b/>
      </w:rPr>
    </w:lvl>
    <w:lvl w:ilvl="1">
      <w:start w:val="1"/>
      <w:numFmt w:val="decimal"/>
      <w:isLgl/>
      <w:lvlText w:val="%1.%2."/>
      <w:lvlJc w:val="left"/>
      <w:pPr>
        <w:ind w:left="644" w:hanging="360"/>
      </w:pPr>
      <w:rPr>
        <w:rFonts w:cs="Times New Roman"/>
        <w:b w:val="0"/>
      </w:rPr>
    </w:lvl>
    <w:lvl w:ilvl="2">
      <w:start w:val="1"/>
      <w:numFmt w:val="decimal"/>
      <w:isLgl/>
      <w:lvlText w:val="%1.%2.%3."/>
      <w:lvlJc w:val="left"/>
      <w:pPr>
        <w:ind w:left="1451" w:hanging="720"/>
      </w:pPr>
      <w:rPr>
        <w:rFonts w:cs="Times New Roman"/>
      </w:rPr>
    </w:lvl>
    <w:lvl w:ilvl="3">
      <w:start w:val="1"/>
      <w:numFmt w:val="decimal"/>
      <w:isLgl/>
      <w:lvlText w:val="%1.%2.%3.%4."/>
      <w:lvlJc w:val="left"/>
      <w:pPr>
        <w:ind w:left="1462" w:hanging="720"/>
      </w:pPr>
      <w:rPr>
        <w:rFonts w:cs="Times New Roman"/>
      </w:rPr>
    </w:lvl>
    <w:lvl w:ilvl="4">
      <w:start w:val="1"/>
      <w:numFmt w:val="decimal"/>
      <w:isLgl/>
      <w:lvlText w:val="%1.%2.%3.%4.%5."/>
      <w:lvlJc w:val="left"/>
      <w:pPr>
        <w:ind w:left="1833" w:hanging="1080"/>
      </w:pPr>
      <w:rPr>
        <w:rFonts w:cs="Times New Roman"/>
      </w:rPr>
    </w:lvl>
    <w:lvl w:ilvl="5">
      <w:start w:val="1"/>
      <w:numFmt w:val="decimal"/>
      <w:isLgl/>
      <w:lvlText w:val="%1.%2.%3.%4.%5.%6."/>
      <w:lvlJc w:val="left"/>
      <w:pPr>
        <w:ind w:left="1844" w:hanging="1080"/>
      </w:pPr>
      <w:rPr>
        <w:rFonts w:cs="Times New Roman"/>
      </w:rPr>
    </w:lvl>
    <w:lvl w:ilvl="6">
      <w:start w:val="1"/>
      <w:numFmt w:val="decimal"/>
      <w:isLgl/>
      <w:lvlText w:val="%1.%2.%3.%4.%5.%6.%7."/>
      <w:lvlJc w:val="left"/>
      <w:pPr>
        <w:ind w:left="2215" w:hanging="1440"/>
      </w:pPr>
      <w:rPr>
        <w:rFonts w:cs="Times New Roman"/>
      </w:rPr>
    </w:lvl>
    <w:lvl w:ilvl="7">
      <w:start w:val="1"/>
      <w:numFmt w:val="decimal"/>
      <w:isLgl/>
      <w:lvlText w:val="%1.%2.%3.%4.%5.%6.%7.%8."/>
      <w:lvlJc w:val="left"/>
      <w:pPr>
        <w:ind w:left="2226" w:hanging="1440"/>
      </w:pPr>
      <w:rPr>
        <w:rFonts w:cs="Times New Roman"/>
      </w:rPr>
    </w:lvl>
    <w:lvl w:ilvl="8">
      <w:start w:val="1"/>
      <w:numFmt w:val="decimal"/>
      <w:isLgl/>
      <w:lvlText w:val="%1.%2.%3.%4.%5.%6.%7.%8.%9."/>
      <w:lvlJc w:val="left"/>
      <w:pPr>
        <w:ind w:left="2597" w:hanging="1800"/>
      </w:pPr>
      <w:rPr>
        <w:rFonts w:cs="Times New Roman"/>
      </w:rPr>
    </w:lvl>
  </w:abstractNum>
  <w:abstractNum w:abstractNumId="4" w15:restartNumberingAfterBreak="0">
    <w:nsid w:val="1CF2183F"/>
    <w:multiLevelType w:val="hybridMultilevel"/>
    <w:tmpl w:val="5B987180"/>
    <w:lvl w:ilvl="0" w:tplc="7F484DE2">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6EB4F7B"/>
    <w:multiLevelType w:val="hybridMultilevel"/>
    <w:tmpl w:val="B7222272"/>
    <w:lvl w:ilvl="0" w:tplc="0D083A5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B2902"/>
    <w:multiLevelType w:val="hybridMultilevel"/>
    <w:tmpl w:val="5FC81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3868FD"/>
    <w:multiLevelType w:val="multilevel"/>
    <w:tmpl w:val="1B1449E8"/>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287D12"/>
    <w:multiLevelType w:val="hybridMultilevel"/>
    <w:tmpl w:val="4BC678C4"/>
    <w:lvl w:ilvl="0" w:tplc="FE0EEAB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6CEF6133"/>
    <w:multiLevelType w:val="hybridMultilevel"/>
    <w:tmpl w:val="FCAC1850"/>
    <w:lvl w:ilvl="0" w:tplc="0419000D">
      <w:start w:val="1"/>
      <w:numFmt w:val="bullet"/>
      <w:lvlText w:val=""/>
      <w:lvlJc w:val="left"/>
      <w:pPr>
        <w:ind w:left="1495"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70D97DAD"/>
    <w:multiLevelType w:val="hybridMultilevel"/>
    <w:tmpl w:val="4A424E04"/>
    <w:lvl w:ilvl="0" w:tplc="F2449CBC">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2"/>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5"/>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FE"/>
    <w:rsid w:val="00001C4F"/>
    <w:rsid w:val="000054F7"/>
    <w:rsid w:val="000061A2"/>
    <w:rsid w:val="000135CD"/>
    <w:rsid w:val="00021E25"/>
    <w:rsid w:val="00031DBE"/>
    <w:rsid w:val="00085FDB"/>
    <w:rsid w:val="000A4EE4"/>
    <w:rsid w:val="000B6C90"/>
    <w:rsid w:val="000F7443"/>
    <w:rsid w:val="001015E2"/>
    <w:rsid w:val="001474D9"/>
    <w:rsid w:val="00166814"/>
    <w:rsid w:val="001717BD"/>
    <w:rsid w:val="001A5AD8"/>
    <w:rsid w:val="001B2FC2"/>
    <w:rsid w:val="001E356D"/>
    <w:rsid w:val="00201A69"/>
    <w:rsid w:val="0021258C"/>
    <w:rsid w:val="00217283"/>
    <w:rsid w:val="00217B6D"/>
    <w:rsid w:val="00233FBF"/>
    <w:rsid w:val="00307DEE"/>
    <w:rsid w:val="003435D8"/>
    <w:rsid w:val="00351D75"/>
    <w:rsid w:val="0035226B"/>
    <w:rsid w:val="003653B3"/>
    <w:rsid w:val="003B08CD"/>
    <w:rsid w:val="003B31A1"/>
    <w:rsid w:val="003C740A"/>
    <w:rsid w:val="003F29A7"/>
    <w:rsid w:val="003F3339"/>
    <w:rsid w:val="0040114A"/>
    <w:rsid w:val="0040469E"/>
    <w:rsid w:val="004213F2"/>
    <w:rsid w:val="0042259A"/>
    <w:rsid w:val="004352F6"/>
    <w:rsid w:val="00484586"/>
    <w:rsid w:val="004B6A10"/>
    <w:rsid w:val="004C0F12"/>
    <w:rsid w:val="004D5AE9"/>
    <w:rsid w:val="004D6C52"/>
    <w:rsid w:val="004E6F51"/>
    <w:rsid w:val="004F44A4"/>
    <w:rsid w:val="00507CC1"/>
    <w:rsid w:val="005215E7"/>
    <w:rsid w:val="005248E2"/>
    <w:rsid w:val="005524CE"/>
    <w:rsid w:val="00564D99"/>
    <w:rsid w:val="005B5FFB"/>
    <w:rsid w:val="005F7565"/>
    <w:rsid w:val="006066DF"/>
    <w:rsid w:val="006131DF"/>
    <w:rsid w:val="00616F96"/>
    <w:rsid w:val="006504A9"/>
    <w:rsid w:val="0065100B"/>
    <w:rsid w:val="00655AD0"/>
    <w:rsid w:val="00666FB3"/>
    <w:rsid w:val="0067256E"/>
    <w:rsid w:val="006A0C5F"/>
    <w:rsid w:val="006B1795"/>
    <w:rsid w:val="006C5BFA"/>
    <w:rsid w:val="006D128C"/>
    <w:rsid w:val="006E1184"/>
    <w:rsid w:val="007469DD"/>
    <w:rsid w:val="0075784B"/>
    <w:rsid w:val="00763BBD"/>
    <w:rsid w:val="00775319"/>
    <w:rsid w:val="007976AB"/>
    <w:rsid w:val="007E6D64"/>
    <w:rsid w:val="007F3EB7"/>
    <w:rsid w:val="008137E4"/>
    <w:rsid w:val="00815AF8"/>
    <w:rsid w:val="0081615B"/>
    <w:rsid w:val="008464ED"/>
    <w:rsid w:val="008B221D"/>
    <w:rsid w:val="008E7E11"/>
    <w:rsid w:val="009073E5"/>
    <w:rsid w:val="00926921"/>
    <w:rsid w:val="009448A4"/>
    <w:rsid w:val="009500BD"/>
    <w:rsid w:val="00973C25"/>
    <w:rsid w:val="0099303D"/>
    <w:rsid w:val="00997872"/>
    <w:rsid w:val="009A6A1B"/>
    <w:rsid w:val="009B0404"/>
    <w:rsid w:val="009B6748"/>
    <w:rsid w:val="009D5B1F"/>
    <w:rsid w:val="009F6746"/>
    <w:rsid w:val="00A044E1"/>
    <w:rsid w:val="00A4172B"/>
    <w:rsid w:val="00A553F9"/>
    <w:rsid w:val="00A56332"/>
    <w:rsid w:val="00A7489E"/>
    <w:rsid w:val="00A85389"/>
    <w:rsid w:val="00A9556C"/>
    <w:rsid w:val="00AD65D5"/>
    <w:rsid w:val="00AE3912"/>
    <w:rsid w:val="00AF2B63"/>
    <w:rsid w:val="00B048A0"/>
    <w:rsid w:val="00B17651"/>
    <w:rsid w:val="00B2273C"/>
    <w:rsid w:val="00B24937"/>
    <w:rsid w:val="00B470E9"/>
    <w:rsid w:val="00B60F32"/>
    <w:rsid w:val="00BA062F"/>
    <w:rsid w:val="00BB0A0B"/>
    <w:rsid w:val="00BC5FA4"/>
    <w:rsid w:val="00BD42A2"/>
    <w:rsid w:val="00BD5E0A"/>
    <w:rsid w:val="00C1627B"/>
    <w:rsid w:val="00CA379C"/>
    <w:rsid w:val="00CB4003"/>
    <w:rsid w:val="00CE1B11"/>
    <w:rsid w:val="00CF3D12"/>
    <w:rsid w:val="00CF3F82"/>
    <w:rsid w:val="00CF6D7C"/>
    <w:rsid w:val="00D01B3C"/>
    <w:rsid w:val="00D27F63"/>
    <w:rsid w:val="00D40DD3"/>
    <w:rsid w:val="00D845AD"/>
    <w:rsid w:val="00D9714D"/>
    <w:rsid w:val="00DA2BFE"/>
    <w:rsid w:val="00DB4446"/>
    <w:rsid w:val="00DC4788"/>
    <w:rsid w:val="00DE27A8"/>
    <w:rsid w:val="00DE2A17"/>
    <w:rsid w:val="00E0706E"/>
    <w:rsid w:val="00E1003C"/>
    <w:rsid w:val="00E24DC8"/>
    <w:rsid w:val="00E2527A"/>
    <w:rsid w:val="00E83971"/>
    <w:rsid w:val="00E929A5"/>
    <w:rsid w:val="00EA5C98"/>
    <w:rsid w:val="00ED4530"/>
    <w:rsid w:val="00F01DF7"/>
    <w:rsid w:val="00F27AEC"/>
    <w:rsid w:val="00F45266"/>
    <w:rsid w:val="00F94C5D"/>
    <w:rsid w:val="00FA0B7F"/>
    <w:rsid w:val="00FA43A1"/>
    <w:rsid w:val="00FB201C"/>
    <w:rsid w:val="00FB61C2"/>
    <w:rsid w:val="00FD7D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3D56F"/>
  <w15:chartTrackingRefBased/>
  <w15:docId w15:val="{3F24D50E-0A40-46FA-BDCA-6D71D24C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BFE"/>
    <w:rPr>
      <w:lang w:eastAsia="ru-RU"/>
    </w:rPr>
  </w:style>
  <w:style w:type="paragraph" w:styleId="4">
    <w:name w:val="heading 4"/>
    <w:basedOn w:val="a"/>
    <w:next w:val="a"/>
    <w:link w:val="40"/>
    <w:semiHidden/>
    <w:unhideWhenUsed/>
    <w:qFormat/>
    <w:rsid w:val="003F29A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rsid w:val="00DA2BF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A2BFE"/>
    <w:pPr>
      <w:spacing w:after="120"/>
    </w:pPr>
  </w:style>
  <w:style w:type="character" w:customStyle="1" w:styleId="50">
    <w:name w:val="Заголовок 5 Знак"/>
    <w:link w:val="5"/>
    <w:rsid w:val="004C0F12"/>
    <w:rPr>
      <w:b/>
      <w:bCs/>
      <w:i/>
      <w:iCs/>
      <w:sz w:val="26"/>
      <w:szCs w:val="26"/>
      <w:lang w:eastAsia="ru-RU"/>
    </w:rPr>
  </w:style>
  <w:style w:type="character" w:styleId="a4">
    <w:name w:val="Hyperlink"/>
    <w:uiPriority w:val="99"/>
    <w:unhideWhenUsed/>
    <w:rsid w:val="004C0F12"/>
    <w:rPr>
      <w:color w:val="0000FF"/>
      <w:u w:val="single"/>
    </w:rPr>
  </w:style>
  <w:style w:type="paragraph" w:styleId="a5">
    <w:name w:val="List Paragraph"/>
    <w:basedOn w:val="a"/>
    <w:uiPriority w:val="34"/>
    <w:qFormat/>
    <w:rsid w:val="000A4EE4"/>
    <w:pPr>
      <w:ind w:left="720"/>
      <w:contextualSpacing/>
    </w:pPr>
    <w:rPr>
      <w:rFonts w:ascii="Calibri" w:hAnsi="Calibri"/>
      <w:sz w:val="22"/>
      <w:szCs w:val="22"/>
      <w:lang w:val="ru-RU" w:eastAsia="en-US"/>
    </w:rPr>
  </w:style>
  <w:style w:type="paragraph" w:styleId="a6">
    <w:name w:val="Normal (Web)"/>
    <w:basedOn w:val="a"/>
    <w:uiPriority w:val="99"/>
    <w:unhideWhenUsed/>
    <w:rsid w:val="00D27F63"/>
    <w:pPr>
      <w:spacing w:before="100" w:beforeAutospacing="1" w:after="100" w:afterAutospacing="1"/>
    </w:pPr>
    <w:rPr>
      <w:sz w:val="24"/>
      <w:szCs w:val="24"/>
      <w:lang w:eastAsia="uk-UA"/>
    </w:rPr>
  </w:style>
  <w:style w:type="paragraph" w:styleId="a7">
    <w:name w:val="Balloon Text"/>
    <w:basedOn w:val="a"/>
    <w:link w:val="a8"/>
    <w:rsid w:val="00001C4F"/>
    <w:rPr>
      <w:rFonts w:ascii="Segoe UI" w:hAnsi="Segoe UI" w:cs="Segoe UI"/>
      <w:sz w:val="18"/>
      <w:szCs w:val="18"/>
    </w:rPr>
  </w:style>
  <w:style w:type="character" w:customStyle="1" w:styleId="a8">
    <w:name w:val="Текст у виносці Знак"/>
    <w:link w:val="a7"/>
    <w:rsid w:val="00001C4F"/>
    <w:rPr>
      <w:rFonts w:ascii="Segoe UI" w:hAnsi="Segoe UI" w:cs="Segoe UI"/>
      <w:sz w:val="18"/>
      <w:szCs w:val="18"/>
      <w:lang w:eastAsia="ru-RU"/>
    </w:rPr>
  </w:style>
  <w:style w:type="paragraph" w:customStyle="1" w:styleId="Default">
    <w:name w:val="Default"/>
    <w:rsid w:val="001474D9"/>
    <w:pPr>
      <w:autoSpaceDE w:val="0"/>
      <w:autoSpaceDN w:val="0"/>
      <w:adjustRightInd w:val="0"/>
    </w:pPr>
    <w:rPr>
      <w:rFonts w:eastAsiaTheme="minorHAnsi"/>
      <w:color w:val="000000"/>
      <w:sz w:val="24"/>
      <w:szCs w:val="24"/>
      <w:lang w:eastAsia="en-US"/>
    </w:rPr>
  </w:style>
  <w:style w:type="character" w:customStyle="1" w:styleId="40">
    <w:name w:val="Заголовок 4 Знак"/>
    <w:basedOn w:val="a0"/>
    <w:link w:val="4"/>
    <w:semiHidden/>
    <w:rsid w:val="003F29A7"/>
    <w:rPr>
      <w:rFonts w:asciiTheme="majorHAnsi" w:eastAsiaTheme="majorEastAsia" w:hAnsiTheme="majorHAnsi" w:cstheme="majorBidi"/>
      <w:i/>
      <w:iCs/>
      <w:color w:val="2F5496" w:themeColor="accent1" w:themeShade="BF"/>
      <w:lang w:eastAsia="ru-RU"/>
    </w:rPr>
  </w:style>
  <w:style w:type="paragraph" w:styleId="a9">
    <w:name w:val="header"/>
    <w:basedOn w:val="a"/>
    <w:link w:val="aa"/>
    <w:uiPriority w:val="99"/>
    <w:rsid w:val="00AE3912"/>
    <w:pPr>
      <w:tabs>
        <w:tab w:val="center" w:pos="4677"/>
        <w:tab w:val="right" w:pos="9355"/>
      </w:tabs>
    </w:pPr>
    <w:rPr>
      <w:rFonts w:ascii="Calibri" w:hAnsi="Calibri"/>
      <w:sz w:val="22"/>
      <w:szCs w:val="22"/>
      <w:lang w:val="ru-RU" w:eastAsia="en-US"/>
    </w:rPr>
  </w:style>
  <w:style w:type="character" w:customStyle="1" w:styleId="aa">
    <w:name w:val="Верхній колонтитул Знак"/>
    <w:basedOn w:val="a0"/>
    <w:link w:val="a9"/>
    <w:uiPriority w:val="99"/>
    <w:rsid w:val="00AE3912"/>
    <w:rPr>
      <w:rFonts w:ascii="Calibri" w:hAnsi="Calibri"/>
      <w:sz w:val="22"/>
      <w:szCs w:val="22"/>
      <w:lang w:val="ru-RU" w:eastAsia="en-US"/>
    </w:rPr>
  </w:style>
  <w:style w:type="character" w:customStyle="1" w:styleId="spanrvts0">
    <w:name w:val="span_rvts0"/>
    <w:rsid w:val="00AE3912"/>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4172">
      <w:bodyDiv w:val="1"/>
      <w:marLeft w:val="0"/>
      <w:marRight w:val="0"/>
      <w:marTop w:val="0"/>
      <w:marBottom w:val="0"/>
      <w:divBdr>
        <w:top w:val="none" w:sz="0" w:space="0" w:color="auto"/>
        <w:left w:val="none" w:sz="0" w:space="0" w:color="auto"/>
        <w:bottom w:val="none" w:sz="0" w:space="0" w:color="auto"/>
        <w:right w:val="none" w:sz="0" w:space="0" w:color="auto"/>
      </w:divBdr>
    </w:div>
    <w:div w:id="893155877">
      <w:bodyDiv w:val="1"/>
      <w:marLeft w:val="0"/>
      <w:marRight w:val="0"/>
      <w:marTop w:val="0"/>
      <w:marBottom w:val="0"/>
      <w:divBdr>
        <w:top w:val="none" w:sz="0" w:space="0" w:color="auto"/>
        <w:left w:val="none" w:sz="0" w:space="0" w:color="auto"/>
        <w:bottom w:val="none" w:sz="0" w:space="0" w:color="auto"/>
        <w:right w:val="none" w:sz="0" w:space="0" w:color="auto"/>
      </w:divBdr>
    </w:div>
    <w:div w:id="1095442762">
      <w:bodyDiv w:val="1"/>
      <w:marLeft w:val="0"/>
      <w:marRight w:val="0"/>
      <w:marTop w:val="0"/>
      <w:marBottom w:val="0"/>
      <w:divBdr>
        <w:top w:val="none" w:sz="0" w:space="0" w:color="auto"/>
        <w:left w:val="none" w:sz="0" w:space="0" w:color="auto"/>
        <w:bottom w:val="none" w:sz="0" w:space="0" w:color="auto"/>
        <w:right w:val="none" w:sz="0" w:space="0" w:color="auto"/>
      </w:divBdr>
    </w:div>
    <w:div w:id="13248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v.grmu.com.u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1912</Words>
  <Characters>1090</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Перелік документів, які необхідно надавати при укладанні договорів: вул</vt:lpstr>
      <vt:lpstr>Перелік документів, які необхідно надавати при укладанні договорів: вул</vt:lpstr>
    </vt:vector>
  </TitlesOfParts>
  <Company>post</Company>
  <LinksUpToDate>false</LinksUpToDate>
  <CharactersWithSpaces>2997</CharactersWithSpaces>
  <SharedDoc>false</SharedDoc>
  <HLinks>
    <vt:vector size="6" baseType="variant">
      <vt:variant>
        <vt:i4>5505143</vt:i4>
      </vt:variant>
      <vt:variant>
        <vt:i4>0</vt:i4>
      </vt:variant>
      <vt:variant>
        <vt:i4>0</vt:i4>
      </vt:variant>
      <vt:variant>
        <vt:i4>5</vt:i4>
      </vt:variant>
      <vt:variant>
        <vt:lpwstr>mailto:office.kv@grmu.com.ua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Перелік документів, які необхідно надавати при укладанні договорів: вул</dc:title>
  <dc:subject/>
  <dc:creator>post</dc:creator>
  <cp:keywords/>
  <cp:lastModifiedBy>Шаргородський Ігор Сергійович</cp:lastModifiedBy>
  <cp:revision>2</cp:revision>
  <cp:lastPrinted>2026-02-16T11:23:00Z</cp:lastPrinted>
  <dcterms:created xsi:type="dcterms:W3CDTF">2026-02-17T09:07:00Z</dcterms:created>
  <dcterms:modified xsi:type="dcterms:W3CDTF">2026-02-17T09:07:00Z</dcterms:modified>
</cp:coreProperties>
</file>